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B502" w14:textId="3DA34163" w:rsidR="00702542" w:rsidRPr="00234902" w:rsidRDefault="00234902" w:rsidP="00702542">
      <w:pPr>
        <w:rPr>
          <w:b/>
          <w:bCs/>
        </w:rPr>
      </w:pPr>
      <w:r w:rsidRPr="00234902">
        <w:rPr>
          <w:b/>
          <w:bCs/>
        </w:rPr>
        <w:t>Legal Futures at The Horniman Museum and Gardens</w:t>
      </w:r>
      <w:r>
        <w:rPr>
          <w:b/>
          <w:bCs/>
        </w:rPr>
        <w:br/>
      </w:r>
      <w:r w:rsidR="002673CC" w:rsidRPr="00234902">
        <w:rPr>
          <w:b/>
          <w:bCs/>
        </w:rPr>
        <w:t xml:space="preserve">Call for participation </w:t>
      </w:r>
    </w:p>
    <w:p w14:paraId="6E8D56E5" w14:textId="09651DD0" w:rsidR="00702542" w:rsidRPr="00234902" w:rsidRDefault="00C117D6" w:rsidP="00702542">
      <w:hyperlink r:id="rId5" w:history="1">
        <w:r w:rsidRPr="00F65C9E">
          <w:rPr>
            <w:rStyle w:val="Hyperlink"/>
          </w:rPr>
          <w:t>The Horniman Museum and Gardens</w:t>
        </w:r>
      </w:hyperlink>
      <w:r>
        <w:t xml:space="preserve"> </w:t>
      </w:r>
      <w:r w:rsidRPr="00234902">
        <w:t>is an unusually rich site where living, non-living and no-longer-living plants, animals, humans and artefacts are held in a range of different collections.</w:t>
      </w:r>
      <w:r>
        <w:t xml:space="preserve"> </w:t>
      </w:r>
      <w:r w:rsidR="00702542" w:rsidRPr="00234902">
        <w:t>How might we use</w:t>
      </w:r>
      <w:r>
        <w:t xml:space="preserve"> those collections</w:t>
      </w:r>
      <w:r w:rsidR="00702542" w:rsidRPr="00234902">
        <w:t xml:space="preserve"> to develop legal futures capacity among academic researchers, and with what benefits and risks? </w:t>
      </w:r>
      <w:r w:rsidR="00702542" w:rsidRPr="00F6764F">
        <w:t xml:space="preserve">We </w:t>
      </w:r>
      <w:r w:rsidR="006E3270" w:rsidRPr="00F6764F">
        <w:t>(</w:t>
      </w:r>
      <w:r w:rsidR="006E3270" w:rsidRPr="00234902">
        <w:t>Amanda Perry-Kessaris, University of Kent, and Elen Stokes, University of Bristol</w:t>
      </w:r>
      <w:r w:rsidR="00F6764F">
        <w:t>)</w:t>
      </w:r>
      <w:r w:rsidR="006E3270" w:rsidRPr="00234902">
        <w:t xml:space="preserve"> </w:t>
      </w:r>
      <w:r w:rsidR="00702542" w:rsidRPr="00F6764F">
        <w:t>are collaborating with a diverse team of legal scholars to find out</w:t>
      </w:r>
      <w:r w:rsidR="00702542" w:rsidRPr="00234902">
        <w:t>.</w:t>
      </w:r>
    </w:p>
    <w:p w14:paraId="5D0DD8D1" w14:textId="0D3C4A4C" w:rsidR="002673CC" w:rsidRDefault="00C2276D" w:rsidP="00702542">
      <w:pPr>
        <w:rPr>
          <w:rFonts w:cs="Arial"/>
        </w:rPr>
      </w:pPr>
      <w:r w:rsidRPr="00234902">
        <w:t xml:space="preserve">By completing a series of structured tasks, participants will be prompted and facilitated to </w:t>
      </w:r>
      <w:r w:rsidRPr="00234902">
        <w:rPr>
          <w:rFonts w:cs="Arial"/>
          <w:szCs w:val="22"/>
        </w:rPr>
        <w:t xml:space="preserve">consider </w:t>
      </w:r>
      <w:r w:rsidR="00263826" w:rsidRPr="00234902">
        <w:rPr>
          <w:rFonts w:cs="Arial"/>
        </w:rPr>
        <w:t xml:space="preserve">the roles </w:t>
      </w:r>
      <w:r w:rsidR="00B352F0" w:rsidRPr="00234902">
        <w:rPr>
          <w:rFonts w:cs="Arial"/>
        </w:rPr>
        <w:t xml:space="preserve">that </w:t>
      </w:r>
      <w:r w:rsidR="00263826" w:rsidRPr="00234902">
        <w:rPr>
          <w:rFonts w:cs="Arial"/>
        </w:rPr>
        <w:t>law plays in constituting possible futures, whether by accident or design</w:t>
      </w:r>
      <w:r w:rsidR="003C091A">
        <w:rPr>
          <w:rFonts w:cs="Arial"/>
        </w:rPr>
        <w:t xml:space="preserve"> (‘legal futures’</w:t>
      </w:r>
      <w:r w:rsidR="00B352F0" w:rsidRPr="00234902">
        <w:rPr>
          <w:rFonts w:cs="Arial"/>
        </w:rPr>
        <w:t>)</w:t>
      </w:r>
      <w:r w:rsidR="00263826" w:rsidRPr="00234902">
        <w:rPr>
          <w:rFonts w:cs="Arial"/>
        </w:rPr>
        <w:t xml:space="preserve">; </w:t>
      </w:r>
      <w:r w:rsidR="00B352F0" w:rsidRPr="00234902">
        <w:rPr>
          <w:rFonts w:cs="Arial"/>
        </w:rPr>
        <w:t xml:space="preserve">to </w:t>
      </w:r>
      <w:r w:rsidR="00263826" w:rsidRPr="00234902">
        <w:rPr>
          <w:rFonts w:cs="Arial"/>
        </w:rPr>
        <w:t>develop their own ‘legal futures capacity’ (ability to work on, with, and through legal futures)</w:t>
      </w:r>
      <w:r w:rsidRPr="00234902">
        <w:rPr>
          <w:rFonts w:cs="Arial"/>
          <w:szCs w:val="22"/>
        </w:rPr>
        <w:t xml:space="preserve">; and </w:t>
      </w:r>
      <w:r w:rsidR="00804F96" w:rsidRPr="00234902">
        <w:rPr>
          <w:rFonts w:cs="Arial"/>
        </w:rPr>
        <w:t xml:space="preserve">to consider </w:t>
      </w:r>
      <w:r w:rsidRPr="00234902">
        <w:rPr>
          <w:rFonts w:cs="Arial"/>
          <w:szCs w:val="22"/>
        </w:rPr>
        <w:t xml:space="preserve">how </w:t>
      </w:r>
      <w:r w:rsidR="00804F96" w:rsidRPr="00234902">
        <w:rPr>
          <w:rFonts w:cs="Arial"/>
        </w:rPr>
        <w:t>engagement</w:t>
      </w:r>
      <w:r w:rsidR="00B352F0" w:rsidRPr="00234902">
        <w:rPr>
          <w:rFonts w:cs="Arial"/>
        </w:rPr>
        <w:t xml:space="preserve"> with legal futures in curated contexts might support the development of legal futures capacity of others</w:t>
      </w:r>
      <w:r w:rsidRPr="00234902">
        <w:rPr>
          <w:rFonts w:cs="Arial"/>
          <w:szCs w:val="22"/>
        </w:rPr>
        <w:t xml:space="preserve"> within academia and beyond.</w:t>
      </w:r>
    </w:p>
    <w:p w14:paraId="0D78BEC9" w14:textId="03DBC42C" w:rsidR="00752CBC" w:rsidRPr="00234902" w:rsidRDefault="00F6764F" w:rsidP="00702542">
      <w:pPr>
        <w:rPr>
          <w:rFonts w:cs="Arial"/>
        </w:rPr>
      </w:pPr>
      <w:r>
        <w:rPr>
          <w:rFonts w:cs="Arial"/>
        </w:rPr>
        <w:t xml:space="preserve">To find out more about the project, and our collaborators, see the </w:t>
      </w:r>
      <w:hyperlink r:id="rId6" w:history="1">
        <w:r w:rsidRPr="00F6764F">
          <w:rPr>
            <w:rStyle w:val="Hyperlink"/>
            <w:rFonts w:cs="Arial"/>
          </w:rPr>
          <w:t>project website</w:t>
        </w:r>
      </w:hyperlink>
      <w:r>
        <w:rPr>
          <w:rFonts w:cs="Arial"/>
        </w:rPr>
        <w:t>.</w:t>
      </w:r>
    </w:p>
    <w:p w14:paraId="66B7466F" w14:textId="77777777" w:rsidR="00752CBC" w:rsidRDefault="00752CBC" w:rsidP="00EF58BA">
      <w:pPr>
        <w:rPr>
          <w:b/>
          <w:bCs/>
        </w:rPr>
      </w:pPr>
      <w:r>
        <w:rPr>
          <w:b/>
          <w:bCs/>
        </w:rPr>
        <w:t>How to apply</w:t>
      </w:r>
    </w:p>
    <w:p w14:paraId="3AA240A3" w14:textId="0B55FDC5" w:rsidR="00EF58BA" w:rsidRPr="00752CBC" w:rsidRDefault="002673CC" w:rsidP="00EF58BA">
      <w:r w:rsidRPr="00752CBC">
        <w:t xml:space="preserve">If you </w:t>
      </w:r>
      <w:r w:rsidR="00804F96" w:rsidRPr="00752CBC">
        <w:t xml:space="preserve">are an early career scholar (including </w:t>
      </w:r>
      <w:r w:rsidR="0089247D" w:rsidRPr="00752CBC">
        <w:t>p</w:t>
      </w:r>
      <w:r w:rsidR="00804F96" w:rsidRPr="00752CBC">
        <w:t>ost-</w:t>
      </w:r>
      <w:r w:rsidR="0089247D" w:rsidRPr="00752CBC">
        <w:t>g</w:t>
      </w:r>
      <w:r w:rsidR="00804F96" w:rsidRPr="00752CBC">
        <w:t xml:space="preserve">raduate </w:t>
      </w:r>
      <w:r w:rsidR="0089247D" w:rsidRPr="00752CBC">
        <w:t>r</w:t>
      </w:r>
      <w:r w:rsidR="00804F96" w:rsidRPr="00752CBC">
        <w:t>esearcher)</w:t>
      </w:r>
      <w:r w:rsidR="00752CBC">
        <w:t>,</w:t>
      </w:r>
      <w:r w:rsidR="00804F96" w:rsidRPr="00752CBC">
        <w:t xml:space="preserve"> and </w:t>
      </w:r>
      <w:r w:rsidR="00752CBC" w:rsidRPr="00752CBC">
        <w:t>are interested in</w:t>
      </w:r>
      <w:r w:rsidRPr="00752CBC">
        <w:t xml:space="preserve"> participat</w:t>
      </w:r>
      <w:r w:rsidR="00752CBC" w:rsidRPr="00752CBC">
        <w:t>ing</w:t>
      </w:r>
      <w:r w:rsidR="00804F96" w:rsidRPr="00752CBC">
        <w:t>,</w:t>
      </w:r>
      <w:r w:rsidRPr="00752CBC">
        <w:t xml:space="preserve"> please address the following prompts on </w:t>
      </w:r>
      <w:r w:rsidR="00C117D6">
        <w:t xml:space="preserve">up to </w:t>
      </w:r>
      <w:r w:rsidRPr="00752CBC">
        <w:t xml:space="preserve">one side of A4: </w:t>
      </w:r>
    </w:p>
    <w:p w14:paraId="3EA41D5D" w14:textId="77777777" w:rsidR="00EF58BA" w:rsidRPr="00EF58BA" w:rsidRDefault="00ED52CD" w:rsidP="00723CD3">
      <w:pPr>
        <w:pStyle w:val="ListParagraph"/>
        <w:rPr>
          <w:b/>
          <w:bCs/>
        </w:rPr>
      </w:pPr>
      <w:r w:rsidRPr="00234902">
        <w:t>Describe how a</w:t>
      </w:r>
      <w:r w:rsidR="0071471C" w:rsidRPr="00234902">
        <w:t xml:space="preserve"> museum or archive</w:t>
      </w:r>
      <w:r w:rsidRPr="00234902">
        <w:t xml:space="preserve"> has impacted upon how you think about law</w:t>
      </w:r>
      <w:r w:rsidR="000F2FA1" w:rsidRPr="00234902">
        <w:t xml:space="preserve"> (</w:t>
      </w:r>
      <w:r w:rsidRPr="00234902">
        <w:t>broadly construed</w:t>
      </w:r>
      <w:r w:rsidR="000F2FA1" w:rsidRPr="00234902">
        <w:t>)</w:t>
      </w:r>
      <w:r w:rsidRPr="00234902">
        <w:t>.</w:t>
      </w:r>
    </w:p>
    <w:p w14:paraId="69BF7167" w14:textId="3CEF2D28" w:rsidR="0071471C" w:rsidRPr="00EF58BA" w:rsidRDefault="0071471C" w:rsidP="00723CD3">
      <w:pPr>
        <w:pStyle w:val="ListParagraph"/>
        <w:rPr>
          <w:b/>
          <w:bCs/>
        </w:rPr>
      </w:pPr>
      <w:r w:rsidRPr="00234902">
        <w:t xml:space="preserve">Outline what roles </w:t>
      </w:r>
      <w:r w:rsidR="000F2FA1" w:rsidRPr="00234902">
        <w:t>are played by ‘</w:t>
      </w:r>
      <w:r w:rsidRPr="00234902">
        <w:t>the future</w:t>
      </w:r>
      <w:r w:rsidR="000F2FA1" w:rsidRPr="00234902">
        <w:t>’ or ‘futures’</w:t>
      </w:r>
      <w:r w:rsidRPr="00234902">
        <w:t xml:space="preserve"> in your field of </w:t>
      </w:r>
      <w:r w:rsidR="000F2FA1" w:rsidRPr="00234902">
        <w:t>legal interest.</w:t>
      </w:r>
      <w:r w:rsidRPr="00234902">
        <w:t xml:space="preserve"> </w:t>
      </w:r>
    </w:p>
    <w:p w14:paraId="1756AC44" w14:textId="731B7934" w:rsidR="00E826A7" w:rsidRDefault="00E9074A" w:rsidP="00E9074A">
      <w:r w:rsidRPr="00234902">
        <w:t>Email your response to</w:t>
      </w:r>
      <w:r w:rsidR="0089247D" w:rsidRPr="00234902">
        <w:t xml:space="preserve"> Elen Stokes &lt;</w:t>
      </w:r>
      <w:hyperlink r:id="rId7" w:history="1">
        <w:r w:rsidR="00234902" w:rsidRPr="005B5288">
          <w:rPr>
            <w:rStyle w:val="Hyperlink"/>
          </w:rPr>
          <w:t>elen.stokes@bristol.ac.uk</w:t>
        </w:r>
      </w:hyperlink>
      <w:r w:rsidR="0089247D" w:rsidRPr="00234902">
        <w:t xml:space="preserve">&gt; </w:t>
      </w:r>
      <w:r w:rsidRPr="00234902">
        <w:rPr>
          <w:b/>
          <w:bCs/>
        </w:rPr>
        <w:t>and</w:t>
      </w:r>
      <w:r w:rsidRPr="00234902">
        <w:t xml:space="preserve"> Amanda Perry-</w:t>
      </w:r>
      <w:proofErr w:type="spellStart"/>
      <w:r w:rsidRPr="00234902">
        <w:t>Kessaris</w:t>
      </w:r>
      <w:proofErr w:type="spellEnd"/>
      <w:r w:rsidRPr="00234902">
        <w:t xml:space="preserve"> &lt;</w:t>
      </w:r>
      <w:hyperlink r:id="rId8" w:history="1">
        <w:r w:rsidRPr="00234902">
          <w:rPr>
            <w:rStyle w:val="Hyperlink"/>
          </w:rPr>
          <w:t>a.perry-kessaris@kent.ac.uk</w:t>
        </w:r>
      </w:hyperlink>
      <w:r w:rsidRPr="00234902">
        <w:t>&gt; by</w:t>
      </w:r>
      <w:r w:rsidR="00C2276D" w:rsidRPr="00234902">
        <w:t xml:space="preserve"> 19 June 2026</w:t>
      </w:r>
      <w:r w:rsidRPr="00234902">
        <w:t>.</w:t>
      </w:r>
    </w:p>
    <w:p w14:paraId="62C6AF8E" w14:textId="0AF527C8" w:rsidR="00752CBC" w:rsidRDefault="00752CBC" w:rsidP="00E9074A">
      <w:pPr>
        <w:rPr>
          <w:b/>
          <w:bCs/>
        </w:rPr>
      </w:pPr>
      <w:r w:rsidRPr="00A00ADC">
        <w:rPr>
          <w:b/>
          <w:bCs/>
        </w:rPr>
        <w:t xml:space="preserve">What will </w:t>
      </w:r>
      <w:r w:rsidR="00A00ADC" w:rsidRPr="00A00ADC">
        <w:rPr>
          <w:b/>
          <w:bCs/>
        </w:rPr>
        <w:t>participa</w:t>
      </w:r>
      <w:r w:rsidR="00A00ADC">
        <w:rPr>
          <w:b/>
          <w:bCs/>
        </w:rPr>
        <w:t>nts be asked to do?</w:t>
      </w:r>
    </w:p>
    <w:p w14:paraId="1E41E662" w14:textId="51005C42" w:rsidR="00A00ADC" w:rsidRDefault="00A00ADC" w:rsidP="00E9074A">
      <w:pPr>
        <w:rPr>
          <w:b/>
          <w:bCs/>
        </w:rPr>
      </w:pPr>
      <w:r w:rsidRPr="00141C5D">
        <w:t>Participation is voluntary.</w:t>
      </w:r>
      <w:r>
        <w:t xml:space="preserve"> </w:t>
      </w:r>
      <w:r w:rsidR="00DA4E99">
        <w:t>Participants</w:t>
      </w:r>
      <w:r>
        <w:t xml:space="preserve"> </w:t>
      </w:r>
      <w:r w:rsidRPr="00141C5D">
        <w:t>will be invited to attend</w:t>
      </w:r>
      <w:r w:rsidR="00230117">
        <w:t xml:space="preserve"> the following events:</w:t>
      </w:r>
    </w:p>
    <w:p w14:paraId="48BBF700" w14:textId="6FA37C8D" w:rsidR="00A00ADC" w:rsidRPr="00EF58BA" w:rsidRDefault="00A00ADC" w:rsidP="00A00ADC">
      <w:pPr>
        <w:pStyle w:val="ListParagraph"/>
        <w:numPr>
          <w:ilvl w:val="0"/>
          <w:numId w:val="3"/>
        </w:numPr>
      </w:pPr>
      <w:r w:rsidRPr="00EF58BA">
        <w:t xml:space="preserve">Orientation Meeting (online): 10:00 </w:t>
      </w:r>
      <w:r w:rsidR="001A275F" w:rsidRPr="00EF58BA">
        <w:t>– 1</w:t>
      </w:r>
      <w:r w:rsidR="001A275F">
        <w:t>1</w:t>
      </w:r>
      <w:r w:rsidR="001A275F" w:rsidRPr="00EF58BA">
        <w:t xml:space="preserve">:00 </w:t>
      </w:r>
      <w:r w:rsidRPr="00EF58BA">
        <w:t>on 8 September 2026</w:t>
      </w:r>
    </w:p>
    <w:p w14:paraId="6DFFA492" w14:textId="641EAC14" w:rsidR="00A00ADC" w:rsidRDefault="00A00ADC" w:rsidP="00A00ADC">
      <w:pPr>
        <w:pStyle w:val="ListParagraph"/>
        <w:numPr>
          <w:ilvl w:val="0"/>
          <w:numId w:val="3"/>
        </w:numPr>
      </w:pPr>
      <w:r w:rsidRPr="00EF58BA">
        <w:t>Workshop (</w:t>
      </w:r>
      <w:hyperlink r:id="rId9" w:history="1">
        <w:r w:rsidRPr="00EF58BA">
          <w:rPr>
            <w:rStyle w:val="Hyperlink"/>
          </w:rPr>
          <w:t>The Horniman Museum and Gardens</w:t>
        </w:r>
      </w:hyperlink>
      <w:r w:rsidRPr="00EF58BA">
        <w:t>): 10:00 – 16:00 on 10 and 11 September 2026</w:t>
      </w:r>
    </w:p>
    <w:p w14:paraId="01648986" w14:textId="0EF74611" w:rsidR="00230117" w:rsidRPr="00EF58BA" w:rsidRDefault="00230117" w:rsidP="00A00ADC">
      <w:pPr>
        <w:pStyle w:val="ListParagraph"/>
        <w:numPr>
          <w:ilvl w:val="0"/>
          <w:numId w:val="3"/>
        </w:numPr>
      </w:pPr>
      <w:r>
        <w:t xml:space="preserve">Refection </w:t>
      </w:r>
      <w:r w:rsidR="00537D9E">
        <w:t xml:space="preserve">and Refinement </w:t>
      </w:r>
      <w:r>
        <w:t>Meeting (online): date and time TBC.</w:t>
      </w:r>
    </w:p>
    <w:p w14:paraId="7EE59617" w14:textId="5AEE2BA1" w:rsidR="00A00ADC" w:rsidRPr="00230117" w:rsidRDefault="00537D9E" w:rsidP="00E9074A">
      <w:r>
        <w:t>Participants</w:t>
      </w:r>
      <w:r w:rsidR="00230117" w:rsidRPr="00230117">
        <w:t xml:space="preserve"> will also be invited to </w:t>
      </w:r>
      <w:r>
        <w:t>contribute to a co-produced</w:t>
      </w:r>
      <w:r w:rsidR="00C117D6">
        <w:t>,</w:t>
      </w:r>
      <w:r>
        <w:t xml:space="preserve"> open-access</w:t>
      </w:r>
      <w:r w:rsidR="00C117D6">
        <w:t>,</w:t>
      </w:r>
      <w:r>
        <w:t xml:space="preserve"> ‘</w:t>
      </w:r>
      <w:r w:rsidRPr="00537D9E">
        <w:t>Field Guide to Investigating Legal Futures at The Horniman</w:t>
      </w:r>
      <w:r>
        <w:t>’.</w:t>
      </w:r>
    </w:p>
    <w:p w14:paraId="03254FAB" w14:textId="77777777" w:rsidR="00F65C9E" w:rsidRDefault="00E9074A" w:rsidP="00F65C9E">
      <w:r w:rsidRPr="00234902">
        <w:t>We look forward to enriching the event with adaptations to accommodate diverse needs.</w:t>
      </w:r>
    </w:p>
    <w:p w14:paraId="515E4538" w14:textId="3C76B94B" w:rsidR="00752CBC" w:rsidRDefault="00723CD3" w:rsidP="00723CD3">
      <w:r w:rsidRPr="00723CD3">
        <w:t>We will fund reasonable UK travel and accommodation costs.</w:t>
      </w:r>
    </w:p>
    <w:p w14:paraId="7BCD5FEE" w14:textId="31CB71D1" w:rsidR="00023BCD" w:rsidRPr="00234902" w:rsidRDefault="00023BCD" w:rsidP="00EF58BA">
      <w:pPr>
        <w:pStyle w:val="Heading2"/>
      </w:pPr>
      <w:r w:rsidRPr="00234902">
        <w:t xml:space="preserve">Funding </w:t>
      </w:r>
      <w:r w:rsidR="0089247D" w:rsidRPr="00234902">
        <w:t xml:space="preserve">and ethics </w:t>
      </w:r>
      <w:r w:rsidRPr="00234902">
        <w:t>statement</w:t>
      </w:r>
    </w:p>
    <w:p w14:paraId="614170E0" w14:textId="45FD25B8" w:rsidR="009C532E" w:rsidRPr="00234902" w:rsidRDefault="0089247D">
      <w:r w:rsidRPr="00234902">
        <w:t xml:space="preserve">This project is funded by the </w:t>
      </w:r>
      <w:r w:rsidR="00E9074A" w:rsidRPr="00234902">
        <w:t>Socio-Legal Studies Association</w:t>
      </w:r>
      <w:r w:rsidR="003D7495">
        <w:t>.</w:t>
      </w:r>
      <w:r w:rsidR="00C117D6">
        <w:t xml:space="preserve"> </w:t>
      </w:r>
      <w:r w:rsidR="003D7495">
        <w:t xml:space="preserve">It </w:t>
      </w:r>
      <w:r w:rsidRPr="00234902">
        <w:t>is governed by the </w:t>
      </w:r>
      <w:hyperlink r:id="rId10" w:history="1">
        <w:r w:rsidRPr="00234902">
          <w:rPr>
            <w:rStyle w:val="Hyperlink"/>
          </w:rPr>
          <w:t>University of Kent Research Ethics Policies and Practice framework</w:t>
        </w:r>
      </w:hyperlink>
      <w:r w:rsidRPr="00234902">
        <w:t>.</w:t>
      </w:r>
      <w:r w:rsidR="003D7495">
        <w:t xml:space="preserve"> If you are invited to participate, you will be provided with a Participant Information Sheet</w:t>
      </w:r>
      <w:r w:rsidR="00212F3D">
        <w:t xml:space="preserve"> to inform your decision on whether to consent to participating</w:t>
      </w:r>
      <w:r w:rsidR="003D7495">
        <w:t>.</w:t>
      </w:r>
    </w:p>
    <w:sectPr w:rsidR="009C532E" w:rsidRPr="00234902" w:rsidSect="00702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4F49"/>
    <w:multiLevelType w:val="hybridMultilevel"/>
    <w:tmpl w:val="B918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2944"/>
    <w:multiLevelType w:val="hybridMultilevel"/>
    <w:tmpl w:val="6AFA6694"/>
    <w:lvl w:ilvl="0" w:tplc="09403CB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028"/>
    <w:multiLevelType w:val="hybridMultilevel"/>
    <w:tmpl w:val="EC80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67E"/>
    <w:multiLevelType w:val="hybridMultilevel"/>
    <w:tmpl w:val="75548156"/>
    <w:lvl w:ilvl="0" w:tplc="64740F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82CEC"/>
    <w:multiLevelType w:val="hybridMultilevel"/>
    <w:tmpl w:val="431ABF0C"/>
    <w:lvl w:ilvl="0" w:tplc="AF62C5B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6AF1"/>
    <w:multiLevelType w:val="hybridMultilevel"/>
    <w:tmpl w:val="12C8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561494">
    <w:abstractNumId w:val="3"/>
  </w:num>
  <w:num w:numId="2" w16cid:durableId="729578811">
    <w:abstractNumId w:val="0"/>
  </w:num>
  <w:num w:numId="3" w16cid:durableId="481190930">
    <w:abstractNumId w:val="5"/>
  </w:num>
  <w:num w:numId="4" w16cid:durableId="680544998">
    <w:abstractNumId w:val="2"/>
  </w:num>
  <w:num w:numId="5" w16cid:durableId="1469979575">
    <w:abstractNumId w:val="1"/>
  </w:num>
  <w:num w:numId="6" w16cid:durableId="546335485">
    <w:abstractNumId w:val="4"/>
  </w:num>
  <w:num w:numId="7" w16cid:durableId="1882017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42"/>
    <w:rsid w:val="00011C2A"/>
    <w:rsid w:val="00023BCD"/>
    <w:rsid w:val="000F2FA1"/>
    <w:rsid w:val="00131DE3"/>
    <w:rsid w:val="00156AE7"/>
    <w:rsid w:val="001A275F"/>
    <w:rsid w:val="00212F3D"/>
    <w:rsid w:val="00230117"/>
    <w:rsid w:val="00234902"/>
    <w:rsid w:val="00263826"/>
    <w:rsid w:val="002673CC"/>
    <w:rsid w:val="00376EF2"/>
    <w:rsid w:val="003C091A"/>
    <w:rsid w:val="003D7495"/>
    <w:rsid w:val="00437885"/>
    <w:rsid w:val="005268C0"/>
    <w:rsid w:val="00537D9E"/>
    <w:rsid w:val="00602EAF"/>
    <w:rsid w:val="00617849"/>
    <w:rsid w:val="0063452C"/>
    <w:rsid w:val="006E3270"/>
    <w:rsid w:val="00702542"/>
    <w:rsid w:val="0071471C"/>
    <w:rsid w:val="00723CD3"/>
    <w:rsid w:val="00752CBC"/>
    <w:rsid w:val="007543D2"/>
    <w:rsid w:val="008043CE"/>
    <w:rsid w:val="00804F96"/>
    <w:rsid w:val="00837333"/>
    <w:rsid w:val="0089247D"/>
    <w:rsid w:val="008C51F0"/>
    <w:rsid w:val="008F6448"/>
    <w:rsid w:val="00924C73"/>
    <w:rsid w:val="00940634"/>
    <w:rsid w:val="0094283D"/>
    <w:rsid w:val="009522EE"/>
    <w:rsid w:val="00980634"/>
    <w:rsid w:val="009B2FA6"/>
    <w:rsid w:val="009C12AD"/>
    <w:rsid w:val="009C532E"/>
    <w:rsid w:val="009D4553"/>
    <w:rsid w:val="009E6F86"/>
    <w:rsid w:val="00A00ADC"/>
    <w:rsid w:val="00B352F0"/>
    <w:rsid w:val="00B510DD"/>
    <w:rsid w:val="00B715EA"/>
    <w:rsid w:val="00C117D6"/>
    <w:rsid w:val="00C2276D"/>
    <w:rsid w:val="00C72EF2"/>
    <w:rsid w:val="00CE0C4B"/>
    <w:rsid w:val="00D3094F"/>
    <w:rsid w:val="00D86C75"/>
    <w:rsid w:val="00DA4E99"/>
    <w:rsid w:val="00E826A7"/>
    <w:rsid w:val="00E9074A"/>
    <w:rsid w:val="00ED52CD"/>
    <w:rsid w:val="00EF58BA"/>
    <w:rsid w:val="00F65C9E"/>
    <w:rsid w:val="00F6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CD262"/>
  <w15:chartTrackingRefBased/>
  <w15:docId w15:val="{B080C127-655E-994F-98AC-B0402ABD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D3"/>
    <w:pPr>
      <w:spacing w:before="240" w:after="240"/>
    </w:pPr>
    <w:rPr>
      <w:rFonts w:ascii="Helvetica" w:hAnsi="Helvetica" w:cs="Times New Roman"/>
      <w:sz w:val="2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3CD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CD3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CD3"/>
    <w:pPr>
      <w:keepNext/>
      <w:keepLines/>
      <w:spacing w:before="200" w:after="0"/>
      <w:outlineLvl w:val="2"/>
    </w:pPr>
    <w:rPr>
      <w:rFonts w:eastAsiaTheme="majorEastAsia" w:cstheme="majorBidi"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5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4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4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CD3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D3"/>
    <w:rPr>
      <w:rFonts w:ascii="Lucida Grande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3C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CD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CD3"/>
    <w:rPr>
      <w:rFonts w:ascii="Helvetica" w:hAnsi="Helvetica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C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CD3"/>
    <w:rPr>
      <w:rFonts w:ascii="Helvetica" w:hAnsi="Helvetica" w:cs="Times New Roman"/>
      <w:b/>
      <w:bCs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723CD3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3CD3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23CD3"/>
    <w:rPr>
      <w:rFonts w:ascii="Helvetica" w:hAnsi="Helvetica" w:cs="Times New Roman"/>
      <w:sz w:val="22"/>
      <w:szCs w:val="20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723CD3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723CD3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rsid w:val="00723CD3"/>
    <w:rPr>
      <w:rFonts w:ascii="Helvetica" w:hAnsi="Helvetica" w:cs="Times New Roman"/>
      <w:sz w:val="2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23CD3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23CD3"/>
    <w:rPr>
      <w:rFonts w:ascii="Helvetica" w:hAnsi="Helvetica" w:cs="Times New Roman"/>
      <w:sz w:val="22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23CD3"/>
    <w:rPr>
      <w:rFonts w:ascii="Helvetica" w:eastAsiaTheme="majorEastAsia" w:hAnsi="Helvetica" w:cstheme="majorBidi"/>
      <w:b/>
      <w:bCs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23CD3"/>
    <w:rPr>
      <w:rFonts w:ascii="Helvetica" w:eastAsiaTheme="majorEastAsia" w:hAnsi="Helvetica" w:cstheme="majorBidi"/>
      <w:b/>
      <w:bCs/>
      <w:sz w:val="22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23CD3"/>
    <w:rPr>
      <w:rFonts w:ascii="Helvetica" w:eastAsiaTheme="majorEastAsia" w:hAnsi="Helvetica" w:cstheme="majorBidi"/>
      <w:i/>
      <w:iCs/>
      <w:sz w:val="22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723CD3"/>
    <w:rPr>
      <w:color w:val="467886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723CD3"/>
    <w:pPr>
      <w:numPr>
        <w:numId w:val="7"/>
      </w:numPr>
      <w:contextualSpacing/>
    </w:pPr>
    <w:rPr>
      <w:szCs w:val="22"/>
    </w:rPr>
  </w:style>
  <w:style w:type="paragraph" w:styleId="NormalWeb">
    <w:name w:val="Normal (Web)"/>
    <w:basedOn w:val="Normal"/>
    <w:uiPriority w:val="99"/>
    <w:semiHidden/>
    <w:unhideWhenUsed/>
    <w:rsid w:val="00723CD3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23CD3"/>
  </w:style>
  <w:style w:type="table" w:styleId="TableGrid">
    <w:name w:val="Table Grid"/>
    <w:basedOn w:val="TableNormal"/>
    <w:uiPriority w:val="59"/>
    <w:rsid w:val="00723CD3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23CD3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23CD3"/>
    <w:rPr>
      <w:rFonts w:ascii="Helvetica" w:hAnsi="Helvetica" w:cs="Times New Roman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542"/>
    <w:rPr>
      <w:rFonts w:eastAsiaTheme="majorEastAsia" w:cstheme="majorBidi"/>
      <w:i/>
      <w:iCs/>
      <w:color w:val="0F4761" w:themeColor="accent1" w:themeShade="BF"/>
      <w:sz w:val="22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42"/>
    <w:rPr>
      <w:rFonts w:eastAsiaTheme="majorEastAsia" w:cstheme="majorBidi"/>
      <w:color w:val="0F4761" w:themeColor="accent1" w:themeShade="BF"/>
      <w:sz w:val="22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42"/>
    <w:rPr>
      <w:rFonts w:eastAsiaTheme="majorEastAsia" w:cstheme="majorBidi"/>
      <w:i/>
      <w:iCs/>
      <w:color w:val="595959" w:themeColor="text1" w:themeTint="A6"/>
      <w:sz w:val="22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42"/>
    <w:rPr>
      <w:rFonts w:eastAsiaTheme="majorEastAsia" w:cstheme="majorBidi"/>
      <w:color w:val="595959" w:themeColor="text1" w:themeTint="A6"/>
      <w:sz w:val="22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42"/>
    <w:rPr>
      <w:rFonts w:eastAsiaTheme="majorEastAsia" w:cstheme="majorBidi"/>
      <w:i/>
      <w:iCs/>
      <w:color w:val="272727" w:themeColor="text1" w:themeTint="D8"/>
      <w:sz w:val="22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42"/>
    <w:rPr>
      <w:rFonts w:eastAsiaTheme="majorEastAsia" w:cstheme="majorBidi"/>
      <w:color w:val="272727" w:themeColor="text1" w:themeTint="D8"/>
      <w:sz w:val="22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70254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42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42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7025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542"/>
    <w:rPr>
      <w:rFonts w:ascii="Helvetica" w:hAnsi="Helvetica" w:cs="Times New Roman"/>
      <w:i/>
      <w:iCs/>
      <w:color w:val="404040" w:themeColor="text1" w:themeTint="BF"/>
      <w:sz w:val="22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702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42"/>
    <w:rPr>
      <w:rFonts w:ascii="Helvetica" w:hAnsi="Helvetica" w:cs="Times New Roman"/>
      <w:i/>
      <w:iCs/>
      <w:color w:val="0F4761" w:themeColor="accent1" w:themeShade="BF"/>
      <w:sz w:val="22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702542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267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erry-kessaris@kent.ac.uk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.stokes@bristol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andaperrykessaris.org/2026/02/06/legal-futures-at-the-horniman-museu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orniman.ac.uk/" TargetMode="External"/><Relationship Id="rId10" Type="http://schemas.openxmlformats.org/officeDocument/2006/relationships/hyperlink" Target="https://www.kent.ac.uk/research-innovation-services/research-ethics-and-govern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rniman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Perry-Kessaris</dc:creator>
  <cp:keywords/>
  <dc:description/>
  <cp:lastModifiedBy>Elen Stokes</cp:lastModifiedBy>
  <cp:revision>6</cp:revision>
  <dcterms:created xsi:type="dcterms:W3CDTF">2026-05-20T11:48:00Z</dcterms:created>
  <dcterms:modified xsi:type="dcterms:W3CDTF">2026-05-20T22:14:00Z</dcterms:modified>
</cp:coreProperties>
</file>